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C" w:rsidRPr="00156D93" w:rsidRDefault="00D24A8C" w:rsidP="00D24A8C">
      <w:r w:rsidRPr="00156D93">
        <w:t>OSNOVNA ŠKOLA JOSIPA LOVRETIĆA</w:t>
      </w:r>
    </w:p>
    <w:p w:rsidR="00D24A8C" w:rsidRPr="00156D93" w:rsidRDefault="00D24A8C" w:rsidP="00D24A8C">
      <w:r w:rsidRPr="00156D93">
        <w:t>OTOK</w:t>
      </w:r>
    </w:p>
    <w:p w:rsidR="00D24A8C" w:rsidRDefault="00D24A8C" w:rsidP="00D24A8C">
      <w:pPr>
        <w:jc w:val="center"/>
        <w:rPr>
          <w:b/>
        </w:rPr>
      </w:pPr>
    </w:p>
    <w:p w:rsidR="008E2B87" w:rsidRDefault="008E2B87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D24A8C" w:rsidRDefault="00D24A8C" w:rsidP="00D24A8C">
      <w:pPr>
        <w:ind w:left="1416" w:firstLine="708"/>
        <w:rPr>
          <w:b/>
        </w:rPr>
      </w:pPr>
      <w:r>
        <w:rPr>
          <w:b/>
        </w:rPr>
        <w:t xml:space="preserve">1. </w:t>
      </w:r>
      <w:r w:rsidR="00AB0623">
        <w:rPr>
          <w:b/>
        </w:rPr>
        <w:t>SIJEČNJA  DO  31. PROSINCA  2021</w:t>
      </w:r>
      <w:r>
        <w:rPr>
          <w:b/>
        </w:rPr>
        <w:t>. GODINE</w:t>
      </w:r>
    </w:p>
    <w:p w:rsidR="00D24A8C" w:rsidRDefault="00D24A8C" w:rsidP="00D24A8C">
      <w:pPr>
        <w:jc w:val="center"/>
        <w:rPr>
          <w:b/>
        </w:rPr>
      </w:pPr>
      <w:r>
        <w:rPr>
          <w:b/>
        </w:rPr>
        <w:t>.</w:t>
      </w: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Pr="00156D93" w:rsidRDefault="00D24A8C" w:rsidP="00D24A8C">
      <w:r w:rsidRPr="00156D93">
        <w:t>Naziv obveznik: OŠ JOSIPA LOVRETIĆA</w:t>
      </w:r>
    </w:p>
    <w:p w:rsidR="00D24A8C" w:rsidRPr="00156D93" w:rsidRDefault="00D24A8C" w:rsidP="00D24A8C">
      <w:r w:rsidRPr="00156D93">
        <w:t>Pošta i mjesto:   32252 OTOK</w:t>
      </w:r>
    </w:p>
    <w:p w:rsidR="00D24A8C" w:rsidRPr="00156D93" w:rsidRDefault="00D24A8C" w:rsidP="00D24A8C">
      <w:r w:rsidRPr="00156D93">
        <w:t>Adresa sjedišta:  J.  J. STROSSMAYERA 142</w:t>
      </w:r>
    </w:p>
    <w:p w:rsidR="00D24A8C" w:rsidRPr="00156D93" w:rsidRDefault="00D24A8C" w:rsidP="00D24A8C">
      <w:r w:rsidRPr="00156D93">
        <w:t>RKP broj: 10143</w:t>
      </w:r>
    </w:p>
    <w:p w:rsidR="00D24A8C" w:rsidRPr="00156D93" w:rsidRDefault="00D24A8C" w:rsidP="00D24A8C">
      <w:r w:rsidRPr="00156D93">
        <w:t>Matični broj: 03301044</w:t>
      </w:r>
      <w:r w:rsidRPr="00156D93">
        <w:tab/>
        <w:t xml:space="preserve">       </w:t>
      </w:r>
    </w:p>
    <w:p w:rsidR="00D24A8C" w:rsidRPr="00156D93" w:rsidRDefault="00D24A8C" w:rsidP="00D24A8C">
      <w:r w:rsidRPr="00156D93">
        <w:t xml:space="preserve">OIB: 76603034249 </w:t>
      </w:r>
    </w:p>
    <w:p w:rsidR="00D24A8C" w:rsidRPr="00156D93" w:rsidRDefault="00D24A8C" w:rsidP="00D24A8C">
      <w:r w:rsidRPr="00156D93">
        <w:t>Oznaka razine: 31</w:t>
      </w:r>
    </w:p>
    <w:p w:rsidR="00D24A8C" w:rsidRPr="00156D93" w:rsidRDefault="00D24A8C" w:rsidP="00D24A8C">
      <w:r w:rsidRPr="00156D93">
        <w:t>Šifra djelatnosti: 8520</w:t>
      </w:r>
    </w:p>
    <w:p w:rsidR="00D24A8C" w:rsidRPr="00156D93" w:rsidRDefault="00D24A8C" w:rsidP="00D24A8C">
      <w:r w:rsidRPr="00156D93">
        <w:t>Razdjel: 000</w:t>
      </w:r>
    </w:p>
    <w:p w:rsidR="00D24A8C" w:rsidRPr="00156D93" w:rsidRDefault="00D24A8C" w:rsidP="00D24A8C">
      <w:r w:rsidRPr="00156D93">
        <w:t xml:space="preserve"> Šifra grada: 535 Županija Vukovarsko –</w:t>
      </w:r>
      <w:r w:rsidR="00716ACA">
        <w:t xml:space="preserve"> </w:t>
      </w:r>
      <w:r w:rsidRPr="00156D93">
        <w:t>srijemska, grad Otok (Vinkovci)</w:t>
      </w:r>
    </w:p>
    <w:p w:rsidR="00D24A8C" w:rsidRDefault="00D24A8C" w:rsidP="00D24A8C">
      <w:pPr>
        <w:rPr>
          <w:b/>
        </w:rPr>
      </w:pPr>
      <w:r>
        <w:rPr>
          <w:b/>
        </w:rPr>
        <w:t xml:space="preserve">                   </w:t>
      </w:r>
    </w:p>
    <w:p w:rsidR="00CF71DD" w:rsidRDefault="00D24A8C" w:rsidP="00D24A8C">
      <w:r>
        <w:t>Škola Josipa Lovretića  posluje u skladu sa Zakonom o odgoju i obrazovanju u osnovnoj i srednjoj školi (Nar.nov.,broj</w:t>
      </w:r>
      <w:r w:rsidR="00CF71DD">
        <w:t xml:space="preserve"> 87/08, 86/09, 92/10, 105/10, 90/11, 5/12, 16/12, 86/12, 126/12, 94/13, 152/14, 07/17, 68/18, 98/19</w:t>
      </w:r>
      <w:r w:rsidR="00917F14">
        <w:t>, 64/20.</w:t>
      </w:r>
      <w:r>
        <w:t xml:space="preserve"> </w:t>
      </w:r>
      <w:r w:rsidR="00CF71DD">
        <w:t>)</w:t>
      </w:r>
      <w:r>
        <w:t xml:space="preserve"> te Statutom škole.</w:t>
      </w:r>
      <w:r w:rsidR="00CF71DD">
        <w:t xml:space="preserve"> Škola obavlja djelatnost osnovnog obrazovanja koje se obavlja u jednoj zgradi u jednosmjenskoj nastavi u petodnevnom radnom tjednu.</w:t>
      </w:r>
      <w:r w:rsidR="00716ACA">
        <w:t xml:space="preserve"> Iznimno tijekom ove godine zbog pandemije izazvane koronavirusom nastava se djelomično odvijala na daljinu a  jedan period se održavala radom u dvije smjene.  </w:t>
      </w:r>
    </w:p>
    <w:p w:rsidR="003402EB" w:rsidRDefault="00D24A8C" w:rsidP="00D24A8C">
      <w:r>
        <w:t>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94364F">
        <w:t xml:space="preserve"> </w:t>
      </w:r>
    </w:p>
    <w:p w:rsidR="00716ACA" w:rsidRDefault="0094364F" w:rsidP="00D24A8C">
      <w:r>
        <w:t>Godišnji financijski izvještaj sastavljen je nakon što su proknjižene sve poslovne promjene</w:t>
      </w:r>
      <w:r w:rsidR="00156D93">
        <w:t xml:space="preserve"> i transakcije za </w:t>
      </w:r>
      <w:r w:rsidR="00AB0623">
        <w:t>razdoblje siječanj-prosinac 2021</w:t>
      </w:r>
      <w:r w:rsidR="00156D93">
        <w:t xml:space="preserve">. godine. Za sastavljanje i predaju financijskih izvejštaja korišteni su elektronski obrasci koji su preuzeti s internetskih </w:t>
      </w:r>
      <w:r w:rsidR="00716ACA">
        <w:t>stranica Ministarstva financija i to najnov</w:t>
      </w:r>
      <w:r w:rsidR="00AB0623">
        <w:t>ija verzija datoteke s oznakom 7.0.3</w:t>
      </w:r>
    </w:p>
    <w:p w:rsidR="00D24A8C" w:rsidRDefault="00D24A8C" w:rsidP="00D24A8C">
      <w:r>
        <w:t xml:space="preserve"> </w:t>
      </w:r>
      <w:r w:rsidR="002C4851">
        <w:t>Osoba odgovorna za sastavljanje finanijskih izvje</w:t>
      </w:r>
      <w:r w:rsidR="003402EB">
        <w:t>štaja je računovotkinja Marija Tešija, a odgovorna osoba za pr</w:t>
      </w:r>
      <w:r w:rsidR="002C4851">
        <w:t>edaju fi</w:t>
      </w:r>
      <w:r w:rsidR="00716ACA">
        <w:t>nancijskih izvještaja je ravnate</w:t>
      </w:r>
      <w:r w:rsidR="002C4851">
        <w:t>ljica Marina Beuk.</w:t>
      </w:r>
    </w:p>
    <w:p w:rsidR="00AD20B1" w:rsidRDefault="00AD20B1" w:rsidP="00D24A8C"/>
    <w:p w:rsidR="00AD20B1" w:rsidRPr="00AD20B1" w:rsidRDefault="00AD20B1" w:rsidP="00D24A8C">
      <w:pPr>
        <w:rPr>
          <w:b/>
        </w:rPr>
      </w:pPr>
      <w:r w:rsidRPr="00AD20B1">
        <w:rPr>
          <w:b/>
        </w:rPr>
        <w:t>BILJEŠKE UZ OBRAZAC: BIL</w:t>
      </w:r>
    </w:p>
    <w:p w:rsidR="003402EB" w:rsidRDefault="003402EB" w:rsidP="00D24A8C">
      <w:pPr>
        <w:rPr>
          <w:b/>
        </w:rPr>
      </w:pPr>
    </w:p>
    <w:p w:rsidR="00D24A8C" w:rsidRDefault="00DA6E35" w:rsidP="00D24A8C">
      <w:r>
        <w:rPr>
          <w:b/>
        </w:rPr>
        <w:t xml:space="preserve">Bilješka broj 1 – AOP 002 – Nefinancijska imovina – </w:t>
      </w:r>
      <w:r w:rsidR="00974C2F">
        <w:t>se povećala</w:t>
      </w:r>
      <w:r>
        <w:t xml:space="preserve"> na kraju obračunskog razdoblja u odnosu na početno stanje </w:t>
      </w:r>
      <w:r w:rsidR="00AB0623">
        <w:t>za 8,6</w:t>
      </w:r>
      <w:r w:rsidR="00D65234">
        <w:t>% a razlog to</w:t>
      </w:r>
      <w:r w:rsidR="00974C2F">
        <w:t>me je</w:t>
      </w:r>
      <w:r w:rsidR="004A1009">
        <w:t xml:space="preserve"> veće ulaganje u imovinu,</w:t>
      </w:r>
    </w:p>
    <w:p w:rsidR="00434F20" w:rsidRDefault="004A1009" w:rsidP="00D24A8C">
      <w:r>
        <w:t>u odnosu na rashodovanje imovine i  redovni godišnji otpis imovine.</w:t>
      </w:r>
    </w:p>
    <w:p w:rsidR="00434F20" w:rsidRDefault="00434F20" w:rsidP="00D24A8C"/>
    <w:p w:rsidR="00130C0A" w:rsidRDefault="004A0D9D" w:rsidP="00D24A8C">
      <w:r w:rsidRPr="00334F67">
        <w:rPr>
          <w:b/>
        </w:rPr>
        <w:t>Bilješka broj 2 – AOP 010</w:t>
      </w:r>
      <w:r>
        <w:t xml:space="preserve"> – Poslovni objekti – su povećani na kraju obračunskog razdoblja</w:t>
      </w:r>
      <w:r w:rsidR="004A1009">
        <w:t xml:space="preserve"> u odnosu na početno stanje za 0,8</w:t>
      </w:r>
      <w:r w:rsidR="007B3E9C">
        <w:t>% odnosno za 101.994,31</w:t>
      </w:r>
      <w:r>
        <w:t xml:space="preserve"> kn  Razlog je</w:t>
      </w:r>
      <w:r w:rsidR="00130C0A">
        <w:t xml:space="preserve"> ulaganje u sa</w:t>
      </w:r>
      <w:r w:rsidR="007B3E9C">
        <w:t>naciju krovišta škole. Za iznos od 77.459,51</w:t>
      </w:r>
      <w:r w:rsidR="00130C0A">
        <w:t xml:space="preserve"> kn ne postoji novčani tijek u obrascu PR-RAS škola je iskazala povećanje vrijednosti imovine što je vidljivo u obrasc</w:t>
      </w:r>
      <w:r w:rsidR="007B3E9C">
        <w:t>u P-VRIO. Ostatak u iznosu od 24.534,80</w:t>
      </w:r>
      <w:r w:rsidR="00130C0A">
        <w:t xml:space="preserve"> kn o</w:t>
      </w:r>
      <w:r w:rsidR="00DC45E1">
        <w:t>dnosi se na ufradnju PVC hidroizolacije na krovištu škole</w:t>
      </w:r>
      <w:r w:rsidR="00130C0A">
        <w:t xml:space="preserve"> za koji postoji novčani tijek što je i vidlj</w:t>
      </w:r>
      <w:r w:rsidR="00DC45E1">
        <w:t>ivo na obrascu PR-RAS na AOP-397</w:t>
      </w:r>
      <w:r w:rsidR="00130C0A">
        <w:t>.</w:t>
      </w:r>
    </w:p>
    <w:p w:rsidR="00D65234" w:rsidRPr="00DA6E35" w:rsidRDefault="004A0D9D" w:rsidP="00D24A8C">
      <w:r>
        <w:lastRenderedPageBreak/>
        <w:t xml:space="preserve"> </w:t>
      </w:r>
    </w:p>
    <w:p w:rsidR="000504FA" w:rsidRDefault="002C4851">
      <w:r w:rsidRPr="00396538">
        <w:rPr>
          <w:b/>
        </w:rPr>
        <w:t>Bilješka broj</w:t>
      </w:r>
      <w:r w:rsidR="00585F28">
        <w:rPr>
          <w:b/>
        </w:rPr>
        <w:t xml:space="preserve"> 3</w:t>
      </w:r>
      <w:r w:rsidR="00C97E53">
        <w:rPr>
          <w:b/>
        </w:rPr>
        <w:t xml:space="preserve"> – AOP 015</w:t>
      </w:r>
      <w:r w:rsidR="00396538">
        <w:rPr>
          <w:b/>
        </w:rPr>
        <w:t xml:space="preserve"> -</w:t>
      </w:r>
      <w:r w:rsidR="00C97E53">
        <w:rPr>
          <w:b/>
        </w:rPr>
        <w:t xml:space="preserve"> Uedska oprema i namještaj - </w:t>
      </w:r>
      <w:r w:rsidR="00C97E53" w:rsidRPr="00C97E53">
        <w:t xml:space="preserve">Stanje na </w:t>
      </w:r>
      <w:r w:rsidR="00EF0177">
        <w:t>dan 1.1.2021</w:t>
      </w:r>
      <w:r w:rsidR="00C97E53">
        <w:t>. na raču</w:t>
      </w:r>
      <w:r w:rsidR="00675449">
        <w:t>nima odjeljka 0221 iznosi  1.435.987,6</w:t>
      </w:r>
      <w:r w:rsidR="00C97E53">
        <w:t>5</w:t>
      </w:r>
      <w:r w:rsidR="00D77003">
        <w:t xml:space="preserve"> kn</w:t>
      </w:r>
      <w:r w:rsidR="00675449">
        <w:t xml:space="preserve"> a na dan 31.12.2021. iznosi 1.384.736,42</w:t>
      </w:r>
      <w:r w:rsidR="00D77003">
        <w:t xml:space="preserve"> kn. Razlika između početnog</w:t>
      </w:r>
      <w:r w:rsidR="00A6023F">
        <w:t xml:space="preserve"> i završ</w:t>
      </w:r>
      <w:r w:rsidR="000504FA">
        <w:t xml:space="preserve">nog stanja je smanjenje (rashodovanje opreme prema Odluci ravnatelja škole na prijedlog  povjerenstva  u iznosu 55.499,23 kn i nabavljene opreme u iznosu od 4.248,00 </w:t>
      </w:r>
      <w:r w:rsidR="009450B2">
        <w:t xml:space="preserve"> vidljivo na obrascu PR-RAS </w:t>
      </w:r>
      <w:r w:rsidR="000504FA">
        <w:t>na AOP-364</w:t>
      </w:r>
      <w:r w:rsidR="009450B2">
        <w:t>.</w:t>
      </w:r>
    </w:p>
    <w:p w:rsidR="000504FA" w:rsidRDefault="000504FA"/>
    <w:p w:rsidR="000504FA" w:rsidRDefault="000504FA" w:rsidP="000504FA">
      <w:r w:rsidRPr="00396538">
        <w:rPr>
          <w:b/>
        </w:rPr>
        <w:t>Bilješka broj</w:t>
      </w:r>
      <w:r>
        <w:rPr>
          <w:b/>
        </w:rPr>
        <w:t xml:space="preserve"> 4– AOP 017 – Oprema za održavanje i zaštitu – </w:t>
      </w:r>
      <w:r>
        <w:t xml:space="preserve">znatno je povećana u odnosu na početno stanje iz razloga što je škola </w:t>
      </w:r>
      <w:r w:rsidR="0035336B">
        <w:t>sudjelovala u projektu obno</w:t>
      </w:r>
      <w:r w:rsidR="00BF2A9A">
        <w:t>vljivih izvora energije -izgradnja</w:t>
      </w:r>
      <w:r w:rsidR="0035336B">
        <w:t xml:space="preserve"> fotonaponske elektrane na krovištu škole. Ukupna vrijednost radova </w:t>
      </w:r>
      <w:r w:rsidR="000556CD">
        <w:t>iznosila je 600.</w:t>
      </w:r>
      <w:r w:rsidR="00BF2A9A">
        <w:t>946,80 kn . – obrazac PR-RAS AOP</w:t>
      </w:r>
      <w:r w:rsidR="000556CD">
        <w:t>-366. Sredstva za plaćanje osigurao je osnivač (dijelom kao pozajmicu) što je vidljivo na obrascu PR-RAS na AOP-131 od kojih će dio biti vraćen osnivaču po primitku bespovratnih sredstava od Fonda.</w:t>
      </w:r>
    </w:p>
    <w:p w:rsidR="00BF2A9A" w:rsidRDefault="00BF2A9A" w:rsidP="000504FA"/>
    <w:p w:rsidR="00BF2A9A" w:rsidRDefault="00BF2A9A" w:rsidP="00BF2A9A">
      <w:r w:rsidRPr="00396538">
        <w:rPr>
          <w:b/>
        </w:rPr>
        <w:t>Bilješka broj</w:t>
      </w:r>
      <w:r>
        <w:rPr>
          <w:b/>
        </w:rPr>
        <w:t xml:space="preserve"> 5– AOP 049 – Sitan inventar i auto gume u upotrebi –</w:t>
      </w:r>
      <w:r>
        <w:t xml:space="preserve"> vrijednost na kraju razdoblja  se smanjila u  odnosu na početno stanje za 26,77% iz razloga što je rashodovano sitnog inventara u ukupnoj vrijednosti od 79.750,81 kn prema Odluci ravnateljice škole a na prijedlog povjerenstva za popis iz razloga što je sitan inventar dotrajao,zastario i više nije za upotrebu. U 2021. godini nije bilo nabavke novog sitnog inventara.</w:t>
      </w:r>
    </w:p>
    <w:p w:rsidR="00BF2A9A" w:rsidRDefault="00BF2A9A" w:rsidP="000504FA"/>
    <w:p w:rsidR="007E7F6B" w:rsidRDefault="006F71DD">
      <w:r>
        <w:rPr>
          <w:b/>
        </w:rPr>
        <w:t>Bilješka broj 6</w:t>
      </w:r>
      <w:r w:rsidR="004A0045" w:rsidRPr="004A0045">
        <w:rPr>
          <w:b/>
        </w:rPr>
        <w:t xml:space="preserve"> –AOP 063 – Financijska imovina</w:t>
      </w:r>
      <w:r w:rsidR="004A0045">
        <w:rPr>
          <w:b/>
        </w:rPr>
        <w:t xml:space="preserve"> </w:t>
      </w:r>
      <w:r w:rsidR="004A0045">
        <w:t xml:space="preserve">se povećala </w:t>
      </w:r>
      <w:r w:rsidR="00B100A9">
        <w:t>u</w:t>
      </w:r>
      <w:r>
        <w:t xml:space="preserve"> odnosu na početno stanje. Razlog ovako velikog povećanje</w:t>
      </w:r>
      <w:r w:rsidR="003D7695">
        <w:t xml:space="preserve"> u odnosu na početak razdoblja</w:t>
      </w:r>
      <w:r>
        <w:t xml:space="preserve"> je  priljev sredstava krajem mjeseca prosinca  za podmirenje troškova izgradnje fotonaponske elektrane kao i za plaćanje računa nastalih u periodu od 15. do 31. prosinca 2021. godine što iz objektivnih razloga nije moglo biti plaćeno do kraja prosinca 2021. Isti računi podmireni su početkom siječnja 2022. godine  </w:t>
      </w:r>
      <w:r w:rsidR="004A0045">
        <w:t xml:space="preserve"> Promatrajući pojedine odjeljke računsko</w:t>
      </w:r>
      <w:r>
        <w:t>g plana dolazilo je uglavnom do povećanja</w:t>
      </w:r>
      <w:r w:rsidR="003D7695">
        <w:t xml:space="preserve"> </w:t>
      </w:r>
    </w:p>
    <w:p w:rsidR="00AD20B1" w:rsidRDefault="003D7695">
      <w:r>
        <w:t>( novac u banci i blagajni AOP-064 potraživanja za više plaćene poreze i doprinose za naknadno priznatu ozljedu na radu AOP-079,</w:t>
      </w:r>
      <w:r w:rsidR="00B100A9">
        <w:t xml:space="preserve"> potraživanja za naknade koje se refund</w:t>
      </w:r>
      <w:r>
        <w:t xml:space="preserve">iraju- bolovanje na teret HZZO AOP-081 kao i </w:t>
      </w:r>
      <w:r w:rsidR="00B100A9">
        <w:t>povećanje</w:t>
      </w:r>
      <w:r w:rsidR="004277ED">
        <w:t xml:space="preserve"> kontinuiranih rashoda  </w:t>
      </w:r>
      <w:r>
        <w:t>AOP-168</w:t>
      </w:r>
      <w:r w:rsidR="004A0045">
        <w:t>)</w:t>
      </w:r>
      <w:r w:rsidR="00B100A9">
        <w:t>.</w:t>
      </w:r>
    </w:p>
    <w:p w:rsidR="004277ED" w:rsidRDefault="004277ED"/>
    <w:p w:rsidR="004B75CB" w:rsidRDefault="0074475F">
      <w:r>
        <w:rPr>
          <w:b/>
        </w:rPr>
        <w:t>Bilješka broj 7</w:t>
      </w:r>
      <w:r w:rsidR="0006535D">
        <w:rPr>
          <w:b/>
        </w:rPr>
        <w:t xml:space="preserve"> </w:t>
      </w:r>
      <w:r w:rsidR="00F05ED3" w:rsidRPr="00D65AF4">
        <w:rPr>
          <w:b/>
        </w:rPr>
        <w:t xml:space="preserve">- AOP </w:t>
      </w:r>
      <w:r w:rsidR="005A45D4">
        <w:rPr>
          <w:b/>
        </w:rPr>
        <w:t>238-244</w:t>
      </w:r>
      <w:r w:rsidR="00D65AF4" w:rsidRPr="00D65AF4">
        <w:rPr>
          <w:b/>
        </w:rPr>
        <w:t xml:space="preserve"> – Višak manjak prihoda</w:t>
      </w:r>
      <w:r w:rsidR="00D65AF4">
        <w:rPr>
          <w:b/>
        </w:rPr>
        <w:t xml:space="preserve"> </w:t>
      </w:r>
      <w:r w:rsidR="00343CBF">
        <w:rPr>
          <w:b/>
        </w:rPr>
        <w:t>–</w:t>
      </w:r>
      <w:r w:rsidR="00D65AF4">
        <w:rPr>
          <w:b/>
        </w:rPr>
        <w:t xml:space="preserve"> </w:t>
      </w:r>
      <w:r w:rsidR="00343CBF" w:rsidRPr="00343CBF">
        <w:t>Nako</w:t>
      </w:r>
      <w:r w:rsidR="005A45D4">
        <w:t>n prebijanja računa viškova i m</w:t>
      </w:r>
      <w:r w:rsidR="00343CBF" w:rsidRPr="00343CBF">
        <w:t>ajkova</w:t>
      </w:r>
      <w:r w:rsidR="00343CBF">
        <w:t xml:space="preserve"> po istovrsnim kategorijama i izvorima financiranja za dio iznosa koji je bio evidentiran tijekom godine na računu kapitalnih </w:t>
      </w:r>
      <w:r w:rsidR="005A45D4">
        <w:t>prijenosa sredstava (konto 6362 i konta 67121)</w:t>
      </w:r>
      <w:r w:rsidR="00343CBF">
        <w:t xml:space="preserve">  a utrošeni su za nabavu dugotrajne nefin</w:t>
      </w:r>
      <w:r w:rsidR="005A45D4">
        <w:t>ancijs</w:t>
      </w:r>
      <w:r w:rsidR="007E7F6B">
        <w:t>ke imovine u iznosu od 639.883,75</w:t>
      </w:r>
      <w:r w:rsidR="00343CBF">
        <w:t xml:space="preserve"> kn iz</w:t>
      </w:r>
      <w:r w:rsidR="004B75CB">
        <w:t>vršena je korekcija rezultata.</w:t>
      </w:r>
      <w:r w:rsidR="00343CBF">
        <w:t xml:space="preserve"> </w:t>
      </w:r>
      <w:r w:rsidR="007E7F6B">
        <w:t>Ukupna razlika AOP-a 240</w:t>
      </w:r>
      <w:r w:rsidR="005A45D4">
        <w:t xml:space="preserve"> -Višak prihoda i AOP-a 244-</w:t>
      </w:r>
      <w:r w:rsidR="004B75CB">
        <w:t xml:space="preserve"> Manjak prihoda u Bilanci jedn</w:t>
      </w:r>
      <w:r w:rsidR="007E7F6B">
        <w:t>aka je iznosu zbroja na AOP 638</w:t>
      </w:r>
      <w:r w:rsidR="004B75CB">
        <w:t xml:space="preserve"> u PR-RAS obrascu.</w:t>
      </w:r>
    </w:p>
    <w:p w:rsidR="00360317" w:rsidRDefault="00360317"/>
    <w:p w:rsidR="00360317" w:rsidRDefault="00360317">
      <w:r>
        <w:rPr>
          <w:b/>
        </w:rPr>
        <w:t xml:space="preserve">Bilješka broj 8 </w:t>
      </w:r>
      <w:r w:rsidRPr="00D65AF4">
        <w:rPr>
          <w:b/>
        </w:rPr>
        <w:t xml:space="preserve">- AOP </w:t>
      </w:r>
      <w:r>
        <w:rPr>
          <w:b/>
        </w:rPr>
        <w:t xml:space="preserve">254 – izvanbilančni zapisi – </w:t>
      </w:r>
      <w:r>
        <w:t xml:space="preserve">na obvoj poziciji škola vodi imovinu dobijenu od MZOŠ za provedbu Cjelovite kurikularne reforme u iznosu od </w:t>
      </w:r>
      <w:r w:rsidR="007E3EDA">
        <w:t xml:space="preserve">281.069,57 kn za koju nije još dobila Odluku o prijenosu vlasništva , kao i imovinu dobijenu od  Carneta u sklopu projekt e-Škole u iznosu od 67.273,92 kn  koja će po završetku projekta prijeći u vlasništvo škole. Stanje na ovoj poziciji u odnosu na početno stanje je povećano za 7.497,90 kn – potencijalne obveze po sudskim sporovima za dva radnika koji </w:t>
      </w:r>
      <w:r w:rsidR="00BA1522">
        <w:t>su tužili zbog razlike plaće. Sudska ročišta su održana u prosincu 2021. godine ali pravomoćne presude nisu još donešene.Buduć da je neizvjesna naplata glavnice, nije napravljena procjena financijskog učinka nego je samo uzet iznos bruto plaće po sudskoj presudi.</w:t>
      </w:r>
    </w:p>
    <w:p w:rsidR="00C4530B" w:rsidRDefault="00C4530B"/>
    <w:p w:rsidR="00C4530B" w:rsidRDefault="00C4530B"/>
    <w:p w:rsidR="00C4530B" w:rsidRDefault="00C4530B"/>
    <w:p w:rsidR="007E3EDA" w:rsidRDefault="007E3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97"/>
        <w:gridCol w:w="1443"/>
        <w:gridCol w:w="1630"/>
        <w:gridCol w:w="1363"/>
        <w:gridCol w:w="1107"/>
      </w:tblGrid>
      <w:tr w:rsidR="00C4530B" w:rsidTr="00D27BBF">
        <w:tc>
          <w:tcPr>
            <w:tcW w:w="1323" w:type="dxa"/>
          </w:tcPr>
          <w:p w:rsidR="00C4530B" w:rsidRDefault="00C4530B">
            <w:r>
              <w:lastRenderedPageBreak/>
              <w:t>Redni br.</w:t>
            </w:r>
          </w:p>
        </w:tc>
        <w:tc>
          <w:tcPr>
            <w:tcW w:w="1397" w:type="dxa"/>
          </w:tcPr>
          <w:p w:rsidR="00C4530B" w:rsidRDefault="00C4530B">
            <w:r>
              <w:t>Opis prirode spora</w:t>
            </w:r>
          </w:p>
        </w:tc>
        <w:tc>
          <w:tcPr>
            <w:tcW w:w="1443" w:type="dxa"/>
          </w:tcPr>
          <w:p w:rsidR="00C4530B" w:rsidRDefault="00C4530B">
            <w:r>
              <w:t>Iznos glavnice</w:t>
            </w:r>
          </w:p>
        </w:tc>
        <w:tc>
          <w:tcPr>
            <w:tcW w:w="1630" w:type="dxa"/>
          </w:tcPr>
          <w:p w:rsidR="00C4530B" w:rsidRDefault="00C4530B">
            <w:r>
              <w:t>Procjena financijskog učinka</w:t>
            </w:r>
          </w:p>
        </w:tc>
        <w:tc>
          <w:tcPr>
            <w:tcW w:w="1363" w:type="dxa"/>
          </w:tcPr>
          <w:p w:rsidR="00C4530B" w:rsidRDefault="00C4530B">
            <w:r>
              <w:t>Procjenjeno vrijeme odljeva sredstava</w:t>
            </w:r>
          </w:p>
        </w:tc>
        <w:tc>
          <w:tcPr>
            <w:tcW w:w="1107" w:type="dxa"/>
          </w:tcPr>
          <w:p w:rsidR="00C4530B" w:rsidRDefault="00C4530B">
            <w:r>
              <w:t>Početak sudskog spora</w:t>
            </w:r>
          </w:p>
        </w:tc>
      </w:tr>
      <w:tr w:rsidR="00C4530B" w:rsidTr="00D27BBF">
        <w:tc>
          <w:tcPr>
            <w:tcW w:w="1323" w:type="dxa"/>
          </w:tcPr>
          <w:p w:rsidR="00C4530B" w:rsidRDefault="00C4530B">
            <w:r>
              <w:t>1.</w:t>
            </w:r>
          </w:p>
        </w:tc>
        <w:tc>
          <w:tcPr>
            <w:tcW w:w="1397" w:type="dxa"/>
          </w:tcPr>
          <w:p w:rsidR="00C4530B" w:rsidRDefault="00C4530B">
            <w:r>
              <w:t>Tužba za neisplatu razlike plaće Pr.931/2020</w:t>
            </w:r>
          </w:p>
        </w:tc>
        <w:tc>
          <w:tcPr>
            <w:tcW w:w="1443" w:type="dxa"/>
          </w:tcPr>
          <w:p w:rsidR="00C4530B" w:rsidRDefault="00C4530B">
            <w:r>
              <w:t>4.383,32</w:t>
            </w:r>
            <w:r w:rsidR="00D27BBF">
              <w:t xml:space="preserve"> kn</w:t>
            </w:r>
          </w:p>
        </w:tc>
        <w:tc>
          <w:tcPr>
            <w:tcW w:w="1630" w:type="dxa"/>
          </w:tcPr>
          <w:p w:rsidR="00C4530B" w:rsidRDefault="00C4530B">
            <w:r>
              <w:t>0,00</w:t>
            </w:r>
          </w:p>
        </w:tc>
        <w:tc>
          <w:tcPr>
            <w:tcW w:w="1363" w:type="dxa"/>
          </w:tcPr>
          <w:p w:rsidR="00C4530B" w:rsidRDefault="00D27BBF">
            <w:r>
              <w:t>4/2022</w:t>
            </w:r>
          </w:p>
        </w:tc>
        <w:tc>
          <w:tcPr>
            <w:tcW w:w="1107" w:type="dxa"/>
          </w:tcPr>
          <w:p w:rsidR="00C4530B" w:rsidRDefault="00C4530B">
            <w:r>
              <w:t>12/2021</w:t>
            </w:r>
          </w:p>
        </w:tc>
      </w:tr>
      <w:tr w:rsidR="00D27BBF" w:rsidTr="00D27BBF">
        <w:tc>
          <w:tcPr>
            <w:tcW w:w="1323" w:type="dxa"/>
          </w:tcPr>
          <w:p w:rsidR="00D27BBF" w:rsidRDefault="00D27BBF">
            <w:r>
              <w:t>2.</w:t>
            </w:r>
          </w:p>
          <w:p w:rsidR="00D27BBF" w:rsidRDefault="00D27BBF"/>
        </w:tc>
        <w:tc>
          <w:tcPr>
            <w:tcW w:w="1397" w:type="dxa"/>
          </w:tcPr>
          <w:p w:rsidR="00D27BBF" w:rsidRDefault="00D27BBF" w:rsidP="006D0F95">
            <w:r>
              <w:t>Tužba za neisplatu razlike plaće Pr.552/2021</w:t>
            </w:r>
          </w:p>
        </w:tc>
        <w:tc>
          <w:tcPr>
            <w:tcW w:w="1443" w:type="dxa"/>
          </w:tcPr>
          <w:p w:rsidR="00D27BBF" w:rsidRDefault="00D27BBF">
            <w:r>
              <w:t>3.114,58 kn</w:t>
            </w:r>
          </w:p>
        </w:tc>
        <w:tc>
          <w:tcPr>
            <w:tcW w:w="1630" w:type="dxa"/>
          </w:tcPr>
          <w:p w:rsidR="00D27BBF" w:rsidRDefault="00D27BBF">
            <w:r>
              <w:t>0,00</w:t>
            </w:r>
          </w:p>
        </w:tc>
        <w:tc>
          <w:tcPr>
            <w:tcW w:w="1363" w:type="dxa"/>
          </w:tcPr>
          <w:p w:rsidR="00D27BBF" w:rsidRDefault="00D27BBF">
            <w:r>
              <w:t>4/2022</w:t>
            </w:r>
          </w:p>
        </w:tc>
        <w:tc>
          <w:tcPr>
            <w:tcW w:w="1107" w:type="dxa"/>
          </w:tcPr>
          <w:p w:rsidR="00D27BBF" w:rsidRDefault="00D27BBF">
            <w:r>
              <w:t>12/2021</w:t>
            </w:r>
          </w:p>
        </w:tc>
      </w:tr>
      <w:tr w:rsidR="00D27BBF" w:rsidTr="00D27BBF">
        <w:tc>
          <w:tcPr>
            <w:tcW w:w="1323" w:type="dxa"/>
          </w:tcPr>
          <w:p w:rsidR="00D27BBF" w:rsidRDefault="00D27BBF"/>
        </w:tc>
        <w:tc>
          <w:tcPr>
            <w:tcW w:w="1397" w:type="dxa"/>
          </w:tcPr>
          <w:p w:rsidR="00D27BBF" w:rsidRDefault="00D27BBF">
            <w:r>
              <w:t>Ukupno:</w:t>
            </w:r>
          </w:p>
        </w:tc>
        <w:tc>
          <w:tcPr>
            <w:tcW w:w="1443" w:type="dxa"/>
          </w:tcPr>
          <w:p w:rsidR="00D27BBF" w:rsidRDefault="00D27BBF">
            <w:r>
              <w:t>7.497,90 kn</w:t>
            </w:r>
          </w:p>
        </w:tc>
        <w:tc>
          <w:tcPr>
            <w:tcW w:w="1630" w:type="dxa"/>
          </w:tcPr>
          <w:p w:rsidR="00D27BBF" w:rsidRDefault="00D27BBF"/>
        </w:tc>
        <w:tc>
          <w:tcPr>
            <w:tcW w:w="1363" w:type="dxa"/>
          </w:tcPr>
          <w:p w:rsidR="00D27BBF" w:rsidRDefault="00D27BBF"/>
        </w:tc>
        <w:tc>
          <w:tcPr>
            <w:tcW w:w="1107" w:type="dxa"/>
          </w:tcPr>
          <w:p w:rsidR="00D27BBF" w:rsidRDefault="00D27BBF"/>
        </w:tc>
      </w:tr>
    </w:tbl>
    <w:p w:rsidR="007E3EDA" w:rsidRPr="00360317" w:rsidRDefault="007E3EDA"/>
    <w:p w:rsidR="00F05ED3" w:rsidRPr="00343CBF" w:rsidRDefault="00F05ED3"/>
    <w:p w:rsidR="00AD20B1" w:rsidRDefault="00D27BBF">
      <w:r>
        <w:t>Prema saznanju škola će imati još dva sudska spora – za isplatu razlike plaće budući da je jedno ročište zakazano za veljaču 2022. godine a drugo za svibanj 2022. godine.</w:t>
      </w:r>
    </w:p>
    <w:p w:rsidR="004B75CB" w:rsidRDefault="004B75CB"/>
    <w:p w:rsidR="00AD20B1" w:rsidRPr="00682E9A" w:rsidRDefault="00AD20B1">
      <w:pPr>
        <w:rPr>
          <w:b/>
        </w:rPr>
      </w:pPr>
      <w:r w:rsidRPr="00682E9A">
        <w:rPr>
          <w:b/>
        </w:rPr>
        <w:t>BILJEŠKE UZ OBRAZAC: PR-RAS</w:t>
      </w:r>
    </w:p>
    <w:p w:rsidR="00907145" w:rsidRPr="00682E9A" w:rsidRDefault="00907145" w:rsidP="00C73656">
      <w:pPr>
        <w:rPr>
          <w:b/>
        </w:rPr>
      </w:pPr>
    </w:p>
    <w:p w:rsidR="00C73656" w:rsidRDefault="00012CFB" w:rsidP="00C73656">
      <w:r>
        <w:rPr>
          <w:b/>
        </w:rPr>
        <w:t>Bilješka broj 9</w:t>
      </w:r>
      <w:r w:rsidR="00F83BE6">
        <w:rPr>
          <w:b/>
        </w:rPr>
        <w:t xml:space="preserve"> -</w:t>
      </w:r>
      <w:r w:rsidR="00C73656">
        <w:rPr>
          <w:b/>
        </w:rPr>
        <w:t xml:space="preserve">  AOP 001</w:t>
      </w:r>
      <w:r w:rsidR="00F83BE6">
        <w:rPr>
          <w:b/>
        </w:rPr>
        <w:t xml:space="preserve">  Prihodi poslovanja</w:t>
      </w:r>
      <w:r w:rsidR="00C73656">
        <w:rPr>
          <w:b/>
        </w:rPr>
        <w:t xml:space="preserve"> – </w:t>
      </w:r>
      <w:r w:rsidR="00C73656">
        <w:t xml:space="preserve">škola je u proteklom razdoblju ostvarila ukupne prihode u iznosu od </w:t>
      </w:r>
      <w:r>
        <w:rPr>
          <w:b/>
        </w:rPr>
        <w:t>7.526.623,78</w:t>
      </w:r>
      <w:r w:rsidR="00C73656">
        <w:rPr>
          <w:b/>
        </w:rPr>
        <w:t xml:space="preserve"> kn</w:t>
      </w:r>
      <w:r w:rsidR="00C73656">
        <w:t xml:space="preserve"> i to: iz državnog proračuna od MZO (</w:t>
      </w:r>
      <w:r>
        <w:rPr>
          <w:b/>
        </w:rPr>
        <w:t>5.885.711,11</w:t>
      </w:r>
      <w:r w:rsidR="00C73656">
        <w:rPr>
          <w:b/>
        </w:rPr>
        <w:t xml:space="preserve">) </w:t>
      </w:r>
      <w:r w:rsidR="00256848">
        <w:t xml:space="preserve">kn, </w:t>
      </w:r>
      <w:r w:rsidR="00C73656">
        <w:t>iz županijskog proračuna (</w:t>
      </w:r>
      <w:r w:rsidR="00875B28">
        <w:t xml:space="preserve"> 1.592.849,78  umanjeni za iznos stvorene obveze za povrat u proračun VSŽ u iznosu od 37.458,51 kn što ukupno iznosi  </w:t>
      </w:r>
      <w:r>
        <w:rPr>
          <w:b/>
        </w:rPr>
        <w:t>1.555.391,27</w:t>
      </w:r>
      <w:r w:rsidR="00875B28">
        <w:rPr>
          <w:b/>
        </w:rPr>
        <w:t xml:space="preserve"> kn</w:t>
      </w:r>
      <w:r w:rsidR="00C73656">
        <w:rPr>
          <w:b/>
        </w:rPr>
        <w:t>)</w:t>
      </w:r>
      <w:r w:rsidR="00875B28">
        <w:t xml:space="preserve">  </w:t>
      </w:r>
      <w:r w:rsidR="00C73656">
        <w:t xml:space="preserve"> iz gradskog proračuna grada Otoka (</w:t>
      </w:r>
      <w:r>
        <w:rPr>
          <w:b/>
        </w:rPr>
        <w:t>44</w:t>
      </w:r>
      <w:r w:rsidR="003F6163">
        <w:rPr>
          <w:b/>
        </w:rPr>
        <w:t>.</w:t>
      </w:r>
      <w:r w:rsidR="00C73656" w:rsidRPr="00607775">
        <w:rPr>
          <w:b/>
        </w:rPr>
        <w:t>00</w:t>
      </w:r>
      <w:r w:rsidR="003F6163">
        <w:rPr>
          <w:b/>
        </w:rPr>
        <w:t>0,00</w:t>
      </w:r>
      <w:r w:rsidR="00C73656">
        <w:t>) kn, od kamata (</w:t>
      </w:r>
      <w:r>
        <w:rPr>
          <w:b/>
        </w:rPr>
        <w:t>1,40</w:t>
      </w:r>
      <w:r w:rsidR="003F6163">
        <w:rPr>
          <w:b/>
        </w:rPr>
        <w:t>)</w:t>
      </w:r>
      <w:r>
        <w:t xml:space="preserve"> kn.  Prihodi iskazani na AOP-u 112</w:t>
      </w:r>
      <w:r w:rsidR="00C73656">
        <w:t xml:space="preserve"> u iznosu od </w:t>
      </w:r>
      <w:r>
        <w:rPr>
          <w:b/>
        </w:rPr>
        <w:t>(39.5</w:t>
      </w:r>
      <w:r w:rsidR="00256848">
        <w:rPr>
          <w:b/>
        </w:rPr>
        <w:t>20,00</w:t>
      </w:r>
      <w:r w:rsidR="00BB7878">
        <w:rPr>
          <w:b/>
        </w:rPr>
        <w:t>)</w:t>
      </w:r>
      <w:r w:rsidR="00C73656">
        <w:t xml:space="preserve"> kn odnose se na ( sufinanciranje učenika u cijeni prehrane u školskoj </w:t>
      </w:r>
      <w:r w:rsidR="00256848">
        <w:t>kuhinji.</w:t>
      </w:r>
      <w:r>
        <w:t xml:space="preserve"> Veće odstupanje u odnosu na predhodno razdoblje iskazano je na AOP-131</w:t>
      </w:r>
      <w:r w:rsidR="002A4442">
        <w:t xml:space="preserve"> a odnosi se na prihode za izgradnju fotonaponske elektrane – projekt obnovljivi izvori energije.</w:t>
      </w:r>
    </w:p>
    <w:p w:rsidR="00C73656" w:rsidRDefault="00C73656" w:rsidP="00C73656"/>
    <w:p w:rsidR="00F83BE6" w:rsidRDefault="00AD4F28" w:rsidP="00C73656">
      <w:r>
        <w:rPr>
          <w:b/>
        </w:rPr>
        <w:t>Bilješka broj 10</w:t>
      </w:r>
      <w:r w:rsidR="00F83BE6" w:rsidRPr="00F83BE6">
        <w:rPr>
          <w:b/>
        </w:rPr>
        <w:t xml:space="preserve"> – AOP  065 – Kapitalne pomoći proračunskim korisnicima iz proračuna koji im nije nadležan </w:t>
      </w:r>
      <w:r w:rsidR="008A592D">
        <w:rPr>
          <w:b/>
        </w:rPr>
        <w:t>–</w:t>
      </w:r>
      <w:r w:rsidR="00F83BE6">
        <w:rPr>
          <w:b/>
        </w:rPr>
        <w:t xml:space="preserve"> </w:t>
      </w:r>
      <w:r w:rsidR="00F2765E">
        <w:t>smanjene su</w:t>
      </w:r>
      <w:r w:rsidR="008A592D">
        <w:t xml:space="preserve"> u odnosu na isto razdoblje predhodne </w:t>
      </w:r>
      <w:bookmarkStart w:id="0" w:name="_GoBack"/>
      <w:bookmarkEnd w:id="0"/>
      <w:r w:rsidR="008A592D">
        <w:t>godine iz razl</w:t>
      </w:r>
      <w:r w:rsidR="00F2765E">
        <w:t xml:space="preserve">oga što je MZO ove godine </w:t>
      </w:r>
      <w:r w:rsidR="008A592D">
        <w:t>u okviru Cjelovite kurikularne reforme</w:t>
      </w:r>
      <w:r w:rsidR="00F2765E">
        <w:t xml:space="preserve"> nastavilo s nabavkom šolskih udžbenika za višekratnu upotrebu kojih je bilo potrebno nabaviti za znatno manji broj uč</w:t>
      </w:r>
      <w:r>
        <w:t>enika u odnosu na prethodnu 2020</w:t>
      </w:r>
      <w:r w:rsidR="00F2765E">
        <w:t>. godinu.</w:t>
      </w:r>
    </w:p>
    <w:p w:rsidR="00D65851" w:rsidRDefault="00D65851" w:rsidP="00C73656">
      <w:r>
        <w:t xml:space="preserve"> </w:t>
      </w:r>
    </w:p>
    <w:p w:rsidR="00AD4F28" w:rsidRDefault="00AD4F28" w:rsidP="00C73656">
      <w:r>
        <w:rPr>
          <w:b/>
        </w:rPr>
        <w:t>Bilješka broj 11 – AOP 112</w:t>
      </w:r>
      <w:r w:rsidR="00D65851" w:rsidRPr="00D65851">
        <w:rPr>
          <w:b/>
        </w:rPr>
        <w:t xml:space="preserve"> – Prihodi po posebnim propisima </w:t>
      </w:r>
      <w:r w:rsidR="00D65851">
        <w:rPr>
          <w:b/>
        </w:rPr>
        <w:t xml:space="preserve">– </w:t>
      </w:r>
      <w:r>
        <w:t>povećani su</w:t>
      </w:r>
      <w:r w:rsidR="00D65851">
        <w:t xml:space="preserve"> u o</w:t>
      </w:r>
      <w:r w:rsidR="008921D3">
        <w:t>d</w:t>
      </w:r>
      <w:r w:rsidR="00D65851">
        <w:t xml:space="preserve">nosu na isto </w:t>
      </w:r>
      <w:r w:rsidR="008921D3">
        <w:t>razdoblje prethodne</w:t>
      </w:r>
      <w:r>
        <w:t xml:space="preserve"> godine za 25</w:t>
      </w:r>
      <w:r w:rsidR="008921D3">
        <w:t>,8</w:t>
      </w:r>
      <w:r>
        <w:t xml:space="preserve">% iz razloga što se veći broj učenika </w:t>
      </w:r>
      <w:r w:rsidR="00D65851">
        <w:t xml:space="preserve"> hrane u školskoj kuhinji uz sufinanciranje rod</w:t>
      </w:r>
      <w:r>
        <w:t>itelja u prehrani. Cijena školske kuhinje u odnosu na 2020. godinu ostala je nepromjenjena.</w:t>
      </w:r>
      <w:r w:rsidR="008921D3">
        <w:t xml:space="preserve"> </w:t>
      </w:r>
    </w:p>
    <w:p w:rsidR="00AD4F28" w:rsidRDefault="00AD4F28" w:rsidP="00C73656"/>
    <w:p w:rsidR="007718E5" w:rsidRDefault="007718E5" w:rsidP="00C73656"/>
    <w:p w:rsidR="007718E5" w:rsidRDefault="00E14993" w:rsidP="00C73656">
      <w:r>
        <w:rPr>
          <w:b/>
        </w:rPr>
        <w:t>Bilješka broj 12. – AOP 159</w:t>
      </w:r>
      <w:r w:rsidR="007718E5">
        <w:t xml:space="preserve"> – Nakna</w:t>
      </w:r>
      <w:r>
        <w:t>de troškova zaposlenima povećani</w:t>
      </w:r>
      <w:r w:rsidR="007718E5">
        <w:t xml:space="preserve"> su u odnosu na isto </w:t>
      </w:r>
      <w:r>
        <w:t>razdoblje prethodne godine za 25,7% . Razlog  odstupanja je održavanje odgođenih stručnih skupova</w:t>
      </w:r>
      <w:r w:rsidR="009E65E8">
        <w:t xml:space="preserve"> iz 2020 ,</w:t>
      </w:r>
      <w:r>
        <w:t xml:space="preserve"> zbog pa</w:t>
      </w:r>
      <w:r w:rsidR="009E65E8">
        <w:t>ndemije koji su održani u 2021. godini</w:t>
      </w:r>
    </w:p>
    <w:p w:rsidR="00C73656" w:rsidRDefault="00C73656" w:rsidP="00C73656">
      <w:pPr>
        <w:ind w:left="360"/>
      </w:pPr>
    </w:p>
    <w:p w:rsidR="009E65E8" w:rsidRDefault="009E65E8" w:rsidP="009E65E8">
      <w:r>
        <w:rPr>
          <w:b/>
        </w:rPr>
        <w:t>Bilješka broj 13</w:t>
      </w:r>
      <w:r w:rsidR="00682E9A">
        <w:rPr>
          <w:b/>
        </w:rPr>
        <w:t xml:space="preserve">. – AOP </w:t>
      </w:r>
      <w:r>
        <w:rPr>
          <w:b/>
        </w:rPr>
        <w:t>164</w:t>
      </w:r>
      <w:r w:rsidR="003C4BB0">
        <w:rPr>
          <w:b/>
        </w:rPr>
        <w:t xml:space="preserve"> – rashod za materijal i energiju </w:t>
      </w:r>
      <w:r w:rsidR="001752C5">
        <w:rPr>
          <w:b/>
        </w:rPr>
        <w:t xml:space="preserve">– </w:t>
      </w:r>
      <w:r w:rsidR="003C4BB0">
        <w:t>povećani</w:t>
      </w:r>
      <w:r w:rsidR="00682E9A">
        <w:t xml:space="preserve"> </w:t>
      </w:r>
      <w:r w:rsidR="001752C5">
        <w:t>su</w:t>
      </w:r>
      <w:r w:rsidR="00682E9A">
        <w:t xml:space="preserve"> u odnosu na izvještajno ra</w:t>
      </w:r>
      <w:r w:rsidR="003C4BB0">
        <w:t>zdobl</w:t>
      </w:r>
      <w:r w:rsidR="001752C5">
        <w:t>je prethodne god</w:t>
      </w:r>
      <w:r>
        <w:t>ine ( index  106,7</w:t>
      </w:r>
      <w:r w:rsidR="00682E9A">
        <w:t>%.</w:t>
      </w:r>
      <w:r w:rsidR="003C4BB0">
        <w:t>)</w:t>
      </w:r>
      <w:r w:rsidR="001752C5">
        <w:t xml:space="preserve"> Promatrajući pojedine odjeljke </w:t>
      </w:r>
      <w:r w:rsidR="001752C5">
        <w:lastRenderedPageBreak/>
        <w:t xml:space="preserve">računskog plana vidljivo je da je dolazilo do povećanja ali i do smanjenja pojedine skupine rashoda. </w:t>
      </w:r>
      <w:r w:rsidR="003C4BB0">
        <w:t xml:space="preserve"> Pri tome su najviše povećani rashodi</w:t>
      </w:r>
      <w:r>
        <w:t xml:space="preserve"> za </w:t>
      </w:r>
      <w:r w:rsidR="001752C5">
        <w:t>materijal</w:t>
      </w:r>
      <w:r>
        <w:t xml:space="preserve"> i sirovine,</w:t>
      </w:r>
      <w:r w:rsidRPr="009E65E8">
        <w:t xml:space="preserve"> </w:t>
      </w:r>
      <w:r>
        <w:t>materijal i dijelovi za tekuće i investicijsko održavanje, dok su troškovi uredskog materijala smanjeni. Znatnijeg odstupanja nije bilo kad se promatra cijela skupina.</w:t>
      </w:r>
    </w:p>
    <w:p w:rsidR="00886786" w:rsidRDefault="009E65E8" w:rsidP="00F43129">
      <w:r>
        <w:t>.</w:t>
      </w:r>
    </w:p>
    <w:p w:rsidR="00886786" w:rsidRPr="00886786" w:rsidRDefault="00886786" w:rsidP="00F43129">
      <w:pPr>
        <w:rPr>
          <w:b/>
        </w:rPr>
      </w:pPr>
    </w:p>
    <w:p w:rsidR="00F11C41" w:rsidRDefault="009E65E8" w:rsidP="00F43129">
      <w:r>
        <w:rPr>
          <w:b/>
        </w:rPr>
        <w:t>Bilješka broj 14</w:t>
      </w:r>
      <w:r w:rsidR="00886786" w:rsidRPr="00886786">
        <w:rPr>
          <w:b/>
        </w:rPr>
        <w:t xml:space="preserve"> – AOP 17</w:t>
      </w:r>
      <w:r>
        <w:rPr>
          <w:b/>
        </w:rPr>
        <w:t>2</w:t>
      </w:r>
      <w:r w:rsidR="00886786" w:rsidRPr="00886786">
        <w:rPr>
          <w:b/>
        </w:rPr>
        <w:t xml:space="preserve"> – Rashodi za usluge</w:t>
      </w:r>
      <w:r w:rsidR="000952A9" w:rsidRPr="00886786">
        <w:rPr>
          <w:b/>
        </w:rPr>
        <w:t xml:space="preserve"> </w:t>
      </w:r>
      <w:r w:rsidR="00F11C41">
        <w:rPr>
          <w:b/>
        </w:rPr>
        <w:t>–</w:t>
      </w:r>
      <w:r w:rsidR="00886786">
        <w:rPr>
          <w:b/>
        </w:rPr>
        <w:t xml:space="preserve"> </w:t>
      </w:r>
      <w:r w:rsidR="00304E6E">
        <w:t>povećani</w:t>
      </w:r>
      <w:r w:rsidR="00F11C41" w:rsidRPr="00F11C41">
        <w:t xml:space="preserve"> su u odnosu </w:t>
      </w:r>
      <w:r>
        <w:t xml:space="preserve"> na prethodnu godinu za 15,5</w:t>
      </w:r>
      <w:r w:rsidR="00304E6E">
        <w:t xml:space="preserve">% </w:t>
      </w:r>
      <w:r w:rsidR="00F11C41">
        <w:t xml:space="preserve"> i to najviše za usluge telefona  pošte i prijevoza,</w:t>
      </w:r>
      <w:r w:rsidR="00304E6E">
        <w:t xml:space="preserve"> </w:t>
      </w:r>
      <w:r w:rsidR="00C777EE">
        <w:t xml:space="preserve">te intelektualne i osobne usluge </w:t>
      </w:r>
      <w:r w:rsidR="00646BEA">
        <w:t>(isplata članovima Kriznog tima koji su intervenirali u školi zbog smrtnog slučaja jednog učenika)</w:t>
      </w:r>
      <w:r w:rsidR="00C777EE">
        <w:t xml:space="preserve"> </w:t>
      </w:r>
      <w:r w:rsidR="003B2350">
        <w:t xml:space="preserve">, </w:t>
      </w:r>
      <w:r w:rsidR="00F11C41">
        <w:t xml:space="preserve"> dok su ostal</w:t>
      </w:r>
      <w:r w:rsidR="003B2350">
        <w:t xml:space="preserve">e usluge neznatno smanjene </w:t>
      </w:r>
      <w:r w:rsidR="00F11C41">
        <w:t>ili su ostale iste kao i prethodne godine.</w:t>
      </w:r>
    </w:p>
    <w:p w:rsidR="00F11C41" w:rsidRDefault="00F11C41" w:rsidP="00F43129"/>
    <w:p w:rsidR="00927311" w:rsidRDefault="00646BEA" w:rsidP="00F43129">
      <w:r>
        <w:rPr>
          <w:b/>
        </w:rPr>
        <w:t>Bilješka broj 15</w:t>
      </w:r>
      <w:r w:rsidR="00F11C41" w:rsidRPr="00927311">
        <w:rPr>
          <w:b/>
        </w:rPr>
        <w:t xml:space="preserve"> – AOP</w:t>
      </w:r>
      <w:r>
        <w:rPr>
          <w:b/>
        </w:rPr>
        <w:t xml:space="preserve"> 183</w:t>
      </w:r>
      <w:r w:rsidR="00F11C41" w:rsidRPr="00927311">
        <w:rPr>
          <w:b/>
        </w:rPr>
        <w:t xml:space="preserve"> </w:t>
      </w:r>
      <w:r w:rsidR="00927311" w:rsidRPr="00927311">
        <w:rPr>
          <w:b/>
        </w:rPr>
        <w:t>–</w:t>
      </w:r>
      <w:r w:rsidR="00F11C41" w:rsidRPr="00927311">
        <w:rPr>
          <w:b/>
        </w:rPr>
        <w:t xml:space="preserve"> </w:t>
      </w:r>
      <w:r w:rsidR="003B2350">
        <w:rPr>
          <w:b/>
        </w:rPr>
        <w:t xml:space="preserve">Ostali nespomenuti rashoda </w:t>
      </w:r>
      <w:r w:rsidR="00927311" w:rsidRPr="00927311">
        <w:rPr>
          <w:b/>
        </w:rPr>
        <w:t xml:space="preserve">poslovanja - </w:t>
      </w:r>
      <w:r w:rsidR="00F11C41" w:rsidRPr="00927311">
        <w:rPr>
          <w:b/>
        </w:rPr>
        <w:t xml:space="preserve"> </w:t>
      </w:r>
      <w:r w:rsidR="003B2350">
        <w:t>smanjeni</w:t>
      </w:r>
      <w:r w:rsidR="00927311">
        <w:t xml:space="preserve"> su u odnosu na sto izvještajno</w:t>
      </w:r>
      <w:r w:rsidR="003B2350">
        <w:t xml:space="preserve"> razdoblje prethodn</w:t>
      </w:r>
      <w:r w:rsidR="003B7B0A">
        <w:t xml:space="preserve">e godine za 0,5% </w:t>
      </w:r>
      <w:r w:rsidR="003B2350">
        <w:t xml:space="preserve">  i to svi rashodi ovog odjeljka računskog plana</w:t>
      </w:r>
      <w:r w:rsidR="003B7B0A">
        <w:t>.  AOP-189 troškovi sudskih postupaka nema iskazan indeks jer u prethodnoj godini nismo imali troškova sudskih sporova.</w:t>
      </w:r>
    </w:p>
    <w:p w:rsidR="00927311" w:rsidRPr="00927311" w:rsidRDefault="00927311" w:rsidP="00F43129">
      <w:pPr>
        <w:rPr>
          <w:b/>
        </w:rPr>
      </w:pPr>
    </w:p>
    <w:p w:rsidR="00927311" w:rsidRDefault="00927311" w:rsidP="00F43129">
      <w:r w:rsidRPr="003B7B0A">
        <w:rPr>
          <w:b/>
        </w:rPr>
        <w:t xml:space="preserve">Bilješka broj </w:t>
      </w:r>
      <w:r w:rsidR="003B7B0A" w:rsidRPr="003B7B0A">
        <w:rPr>
          <w:b/>
        </w:rPr>
        <w:t>16</w:t>
      </w:r>
      <w:r w:rsidRPr="003B7B0A">
        <w:rPr>
          <w:b/>
        </w:rPr>
        <w:t xml:space="preserve"> – AOP </w:t>
      </w:r>
      <w:r w:rsidR="003B7B0A" w:rsidRPr="003B7B0A">
        <w:rPr>
          <w:b/>
        </w:rPr>
        <w:t>191</w:t>
      </w:r>
      <w:r w:rsidRPr="003B7B0A">
        <w:rPr>
          <w:b/>
        </w:rPr>
        <w:t xml:space="preserve"> – Financijski rashodi</w:t>
      </w:r>
      <w:r w:rsidR="003B7B0A">
        <w:t xml:space="preserve">  povećani</w:t>
      </w:r>
      <w:r w:rsidRPr="003B7B0A">
        <w:t xml:space="preserve"> su u odnosu</w:t>
      </w:r>
      <w:r w:rsidR="003B7B0A">
        <w:t xml:space="preserve"> na prethodnu godinu  (index 153,3%) zbog troškova zateznih kamata za sudske presude.</w:t>
      </w:r>
    </w:p>
    <w:p w:rsidR="00927311" w:rsidRDefault="00927311" w:rsidP="00F43129"/>
    <w:p w:rsidR="00E1308E" w:rsidRDefault="003B7B0A" w:rsidP="00E1308E">
      <w:r>
        <w:rPr>
          <w:b/>
        </w:rPr>
        <w:t>Bilješka broj 17</w:t>
      </w:r>
      <w:r w:rsidR="00927311" w:rsidRPr="00E1308E">
        <w:rPr>
          <w:b/>
        </w:rPr>
        <w:t xml:space="preserve"> – AOP </w:t>
      </w:r>
      <w:r>
        <w:rPr>
          <w:b/>
        </w:rPr>
        <w:t>247</w:t>
      </w:r>
      <w:r w:rsidR="00E1308E" w:rsidRPr="00E1308E">
        <w:rPr>
          <w:b/>
        </w:rPr>
        <w:t xml:space="preserve"> - Naknade građanima i kućanstvima na temelju osiguranja i druge naknade </w:t>
      </w:r>
      <w:r w:rsidR="00E1308E">
        <w:rPr>
          <w:b/>
        </w:rPr>
        <w:t>–</w:t>
      </w:r>
      <w:r w:rsidR="00F844D1">
        <w:t xml:space="preserve"> povećani su o </w:t>
      </w:r>
      <w:r>
        <w:t>odnosu na prethodnu godinu za 13,6</w:t>
      </w:r>
      <w:r w:rsidR="00F844D1">
        <w:t>%</w:t>
      </w:r>
      <w:r w:rsidR="00E1308E">
        <w:rPr>
          <w:b/>
        </w:rPr>
        <w:t xml:space="preserve"> </w:t>
      </w:r>
      <w:r w:rsidR="00F844D1">
        <w:t xml:space="preserve">  a trošak se odnosi na</w:t>
      </w:r>
      <w:r w:rsidR="00E1308E">
        <w:t xml:space="preserve"> nabavku školskih udžbenika radnog </w:t>
      </w:r>
      <w:r w:rsidR="00F844D1">
        <w:t>karaktera knjiženih na konto 37229.</w:t>
      </w:r>
    </w:p>
    <w:p w:rsidR="00E1308E" w:rsidRDefault="00E1308E" w:rsidP="00E1308E"/>
    <w:p w:rsidR="00E1308E" w:rsidRPr="00E1308E" w:rsidRDefault="003B7B0A" w:rsidP="00E1308E">
      <w:pPr>
        <w:rPr>
          <w:b/>
        </w:rPr>
      </w:pPr>
      <w:r>
        <w:rPr>
          <w:b/>
        </w:rPr>
        <w:t>Bilješka broj 18 – AOP 357</w:t>
      </w:r>
      <w:r w:rsidR="00E1308E" w:rsidRPr="00E1308E">
        <w:rPr>
          <w:b/>
        </w:rPr>
        <w:t xml:space="preserve"> - Rashodi za nabavu proizvedene dugotrajne imovine </w:t>
      </w:r>
      <w:r w:rsidR="00E1308E">
        <w:rPr>
          <w:b/>
        </w:rPr>
        <w:t xml:space="preserve">– </w:t>
      </w:r>
      <w:r>
        <w:t>rashodi su znatno povećani</w:t>
      </w:r>
      <w:r w:rsidR="00E1308E">
        <w:t xml:space="preserve"> u odnos</w:t>
      </w:r>
      <w:r w:rsidR="00E359BA">
        <w:t>u</w:t>
      </w:r>
      <w:r>
        <w:t xml:space="preserve"> na prethodnu godinu </w:t>
      </w:r>
      <w:r w:rsidR="000B2D83">
        <w:t xml:space="preserve"> u skupini računa (</w:t>
      </w:r>
      <w:r w:rsidR="00C25CE8">
        <w:t>4223</w:t>
      </w:r>
      <w:r w:rsidR="00E359BA">
        <w:t xml:space="preserve">) </w:t>
      </w:r>
      <w:r w:rsidR="00C25CE8">
        <w:t xml:space="preserve">– AOP 366 </w:t>
      </w:r>
      <w:r w:rsidR="00E359BA">
        <w:t>gdje su</w:t>
      </w:r>
      <w:r w:rsidR="00C25CE8">
        <w:t xml:space="preserve"> knjiženi rashodi za izgradnju fotonaponske elektrane na krovištu škole.</w:t>
      </w:r>
      <w:r w:rsidR="00C25CE8" w:rsidRPr="00C25CE8">
        <w:t xml:space="preserve"> </w:t>
      </w:r>
      <w:r w:rsidR="00C25CE8">
        <w:t xml:space="preserve">Indeks za prikazani podatak nije iskazan jer u prethodnoj godini ovog rashoda nismo imali., te na AOP-397 dodatno ulaganje na građevinskim objektima gdje je knjiženo postavljanje hidroizolacije na krovu škole. Evidentirani </w:t>
      </w:r>
      <w:r w:rsidR="000B2D83">
        <w:t xml:space="preserve"> rashodi za nabavku školskih udžbenika</w:t>
      </w:r>
      <w:r w:rsidR="00C25CE8">
        <w:t xml:space="preserve"> i lektirnih naslova AOP-378, te </w:t>
      </w:r>
      <w:r w:rsidR="000B2D83">
        <w:t xml:space="preserve"> rashodi za ure</w:t>
      </w:r>
      <w:r w:rsidR="00C25CE8">
        <w:t xml:space="preserve">dsku opremu i namještaj AOP364 smanjeni su u </w:t>
      </w:r>
      <w:r w:rsidR="000B2D83">
        <w:t xml:space="preserve"> u odnosu na </w:t>
      </w:r>
      <w:r w:rsidR="002301D3">
        <w:t>isto razdoblje prethodne godine</w:t>
      </w:r>
      <w:r w:rsidR="00C25CE8">
        <w:t>.</w:t>
      </w:r>
      <w:r w:rsidR="002301D3">
        <w:t xml:space="preserve"> </w:t>
      </w:r>
    </w:p>
    <w:p w:rsidR="003C4BB0" w:rsidRPr="00E1308E" w:rsidRDefault="003C4BB0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RAS-funkcijski</w:t>
      </w:r>
    </w:p>
    <w:p w:rsidR="00F43129" w:rsidRDefault="00F43129" w:rsidP="00F43129">
      <w:pPr>
        <w:rPr>
          <w:b/>
        </w:rPr>
      </w:pPr>
    </w:p>
    <w:p w:rsidR="00D8030A" w:rsidRDefault="00163E11" w:rsidP="00F43129">
      <w:r>
        <w:rPr>
          <w:b/>
        </w:rPr>
        <w:t>Bilješka broj 19</w:t>
      </w:r>
      <w:r w:rsidR="004E69D6">
        <w:rPr>
          <w:b/>
        </w:rPr>
        <w:t xml:space="preserve"> – AOP 113 – osnovno obrazovanje – </w:t>
      </w:r>
      <w:r w:rsidR="00D61780">
        <w:rPr>
          <w:b/>
        </w:rPr>
        <w:t xml:space="preserve"> </w:t>
      </w:r>
      <w:r w:rsidR="00D61780" w:rsidRPr="000B2D83">
        <w:t>u obrascu su</w:t>
      </w:r>
      <w:r w:rsidR="00D61780">
        <w:rPr>
          <w:b/>
        </w:rPr>
        <w:t xml:space="preserve"> </w:t>
      </w:r>
      <w:r w:rsidR="004E69D6" w:rsidRPr="004E69D6">
        <w:t xml:space="preserve">iskazani  rashodi </w:t>
      </w:r>
      <w:r w:rsidR="00DC5F0E">
        <w:t xml:space="preserve">poslovanja </w:t>
      </w:r>
      <w:r w:rsidR="00D61780">
        <w:t>i rashodi za nabavu nefinancijske imovine</w:t>
      </w:r>
      <w:r w:rsidR="004E69D6">
        <w:t xml:space="preserve"> </w:t>
      </w:r>
      <w:r w:rsidR="00DC5F0E">
        <w:t xml:space="preserve">tj. svi rashodi povezani </w:t>
      </w:r>
      <w:r w:rsidR="00D8030A">
        <w:t xml:space="preserve"> </w:t>
      </w:r>
      <w:r w:rsidR="00DC5F0E">
        <w:t>uz</w:t>
      </w:r>
      <w:r w:rsidR="00D8030A">
        <w:t xml:space="preserve"> funkciju</w:t>
      </w:r>
      <w:r w:rsidR="00DC5F0E">
        <w:t xml:space="preserve"> </w:t>
      </w:r>
      <w:r w:rsidR="00D8030A">
        <w:t>odgoja i</w:t>
      </w:r>
      <w:r w:rsidR="00DC5F0E">
        <w:t xml:space="preserve"> obrazovanje u</w:t>
      </w:r>
      <w:r>
        <w:t xml:space="preserve"> ukupnom iznosu od 7.381.217,98</w:t>
      </w:r>
      <w:r w:rsidR="004E69D6">
        <w:t xml:space="preserve"> kn </w:t>
      </w:r>
      <w:r w:rsidR="00D8030A">
        <w:t xml:space="preserve">. </w:t>
      </w:r>
    </w:p>
    <w:p w:rsidR="004E69D6" w:rsidRDefault="00D8030A" w:rsidP="00F43129">
      <w:r>
        <w:t xml:space="preserve">Kako škola uz funkciju odgoja i obrazovanja obavlja i funkciju prehrane učenikla i ti rashodi su iskazani </w:t>
      </w:r>
      <w:r w:rsidR="00DC5F0E">
        <w:t xml:space="preserve"> na AOP- u 122 - Dodatne  usluge u obr</w:t>
      </w:r>
      <w:r w:rsidR="00163E11">
        <w:t>azovanju u ukupnom iznosu od 171.379,23</w:t>
      </w:r>
      <w:r w:rsidR="00DC5F0E">
        <w:t xml:space="preserve"> kn. </w:t>
      </w:r>
    </w:p>
    <w:p w:rsidR="00DC5F0E" w:rsidRDefault="00DC5F0E" w:rsidP="00F43129"/>
    <w:p w:rsidR="00F43129" w:rsidRDefault="00F43129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P-VRIO</w:t>
      </w:r>
    </w:p>
    <w:p w:rsidR="002B5431" w:rsidRDefault="002B5431" w:rsidP="00F43129">
      <w:pPr>
        <w:rPr>
          <w:b/>
        </w:rPr>
      </w:pPr>
    </w:p>
    <w:p w:rsidR="003B349C" w:rsidRPr="00341B92" w:rsidRDefault="00163E11" w:rsidP="00F43129">
      <w:r>
        <w:rPr>
          <w:b/>
        </w:rPr>
        <w:t>Bilješka broj 20</w:t>
      </w:r>
      <w:r w:rsidR="002B5431">
        <w:rPr>
          <w:b/>
        </w:rPr>
        <w:t xml:space="preserve">. – AOP 001 – Promjene u vrijednosti i </w:t>
      </w:r>
      <w:r w:rsidR="00341B92">
        <w:rPr>
          <w:b/>
        </w:rPr>
        <w:t xml:space="preserve">obujmu imovine  - </w:t>
      </w:r>
      <w:r w:rsidR="00341B92">
        <w:t xml:space="preserve"> iskazano je povećanje vrijenost</w:t>
      </w:r>
      <w:r>
        <w:t>i imovine u iznosu od 77.459,51</w:t>
      </w:r>
      <w:r w:rsidR="00341B92">
        <w:t xml:space="preserve"> kn odnosi se na sanaciju krovišta škole. </w:t>
      </w:r>
      <w:r w:rsidR="00341B92">
        <w:lastRenderedPageBreak/>
        <w:t>Budući da nije postojao novčani tijek u poslovnim knjigama povećanje je iskazano na temelju obavijesti o izvršenom plaćanju osnivača tj. Vukovarsko-srijemske županije.</w:t>
      </w: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</w:t>
      </w:r>
      <w:r w:rsidRPr="002075BC">
        <w:rPr>
          <w:b/>
        </w:rPr>
        <w:t xml:space="preserve"> OBVEZE</w:t>
      </w:r>
    </w:p>
    <w:p w:rsidR="004D0D3A" w:rsidRDefault="004D0D3A" w:rsidP="00F43129">
      <w:pPr>
        <w:rPr>
          <w:b/>
        </w:rPr>
      </w:pPr>
    </w:p>
    <w:p w:rsidR="00407773" w:rsidRDefault="00407773" w:rsidP="00F43129">
      <w:pPr>
        <w:rPr>
          <w:b/>
        </w:rPr>
      </w:pPr>
    </w:p>
    <w:p w:rsidR="00E70394" w:rsidRDefault="00F60051" w:rsidP="00F43129">
      <w:r>
        <w:rPr>
          <w:b/>
        </w:rPr>
        <w:t>Bilješka broj 21</w:t>
      </w:r>
      <w:r w:rsidR="006816CB">
        <w:rPr>
          <w:b/>
        </w:rPr>
        <w:t xml:space="preserve"> -</w:t>
      </w:r>
      <w:r>
        <w:rPr>
          <w:b/>
        </w:rPr>
        <w:t xml:space="preserve"> AOP 038</w:t>
      </w:r>
      <w:r w:rsidR="00E70394" w:rsidRPr="00E70394">
        <w:rPr>
          <w:b/>
        </w:rPr>
        <w:t xml:space="preserve"> </w:t>
      </w:r>
      <w:r w:rsidR="00E70394">
        <w:rPr>
          <w:b/>
        </w:rPr>
        <w:t xml:space="preserve">– Stanje obveza na kraju izvještajnog razdoblja – </w:t>
      </w:r>
      <w:r>
        <w:t>Stanje obveza na kraju 2021. godine iznosi 1.073.887,42</w:t>
      </w:r>
      <w:r w:rsidR="00E70394">
        <w:rPr>
          <w:b/>
        </w:rPr>
        <w:t xml:space="preserve">  </w:t>
      </w:r>
      <w:r w:rsidR="001C4191">
        <w:t xml:space="preserve">kn </w:t>
      </w:r>
      <w:r w:rsidR="00413B6F">
        <w:t xml:space="preserve"> i povećano je u odnosu na početno stanje obveza . Razlog tome je bila tehnička nemogućnost prebacivanja sredstava dobavljaču za izgradnju fotonaponske elektrane koja</w:t>
      </w:r>
      <w:r w:rsidR="008067D5">
        <w:t xml:space="preserve"> su</w:t>
      </w:r>
      <w:r w:rsidR="00413B6F">
        <w:t xml:space="preserve"> prebačena na račun</w:t>
      </w:r>
      <w:r w:rsidR="008067D5">
        <w:t xml:space="preserve"> škole krajem</w:t>
      </w:r>
      <w:r w:rsidR="00413B6F">
        <w:t xml:space="preserve"> 2021. godine.</w:t>
      </w:r>
      <w:r w:rsidR="00413B6F" w:rsidRPr="00413B6F">
        <w:t xml:space="preserve"> </w:t>
      </w:r>
      <w:r w:rsidR="00413B6F">
        <w:t>Obveza je vidljiva na AOP-087 i dospjela je obveza. Ista je</w:t>
      </w:r>
      <w:r w:rsidR="008067D5">
        <w:t xml:space="preserve"> podmirena </w:t>
      </w:r>
      <w:r w:rsidR="00413B6F">
        <w:t xml:space="preserve"> 3. siječnja 2022. godine. S</w:t>
      </w:r>
      <w:r w:rsidR="001C4191">
        <w:t xml:space="preserve">tanju obveza </w:t>
      </w:r>
      <w:r w:rsidR="00413B6F">
        <w:t xml:space="preserve">odgovara stanju </w:t>
      </w:r>
      <w:r w:rsidR="001C4191">
        <w:t>iskazanih</w:t>
      </w:r>
      <w:r w:rsidR="00413B6F">
        <w:t xml:space="preserve"> obveza </w:t>
      </w:r>
      <w:r w:rsidR="001C4191">
        <w:t xml:space="preserve"> </w:t>
      </w:r>
      <w:r w:rsidR="00413B6F">
        <w:t>u o</w:t>
      </w:r>
      <w:r w:rsidR="00E70394" w:rsidRPr="00E70394">
        <w:t xml:space="preserve">brascu </w:t>
      </w:r>
      <w:r w:rsidR="00413B6F">
        <w:t>Bilanca na AOP-170</w:t>
      </w:r>
    </w:p>
    <w:p w:rsidR="005702CE" w:rsidRDefault="005702CE" w:rsidP="00F43129"/>
    <w:p w:rsidR="002578BA" w:rsidRDefault="00407773" w:rsidP="00F43129">
      <w:r w:rsidRPr="006816CB">
        <w:rPr>
          <w:b/>
        </w:rPr>
        <w:t>B</w:t>
      </w:r>
      <w:r w:rsidR="00413B6F">
        <w:rPr>
          <w:b/>
        </w:rPr>
        <w:t>ilješka broj 22</w:t>
      </w:r>
      <w:r w:rsidR="006816CB">
        <w:rPr>
          <w:b/>
        </w:rPr>
        <w:t xml:space="preserve"> -</w:t>
      </w:r>
      <w:r w:rsidR="00413B6F">
        <w:rPr>
          <w:b/>
        </w:rPr>
        <w:t xml:space="preserve"> AOP 097</w:t>
      </w:r>
      <w:r w:rsidRPr="006816CB">
        <w:rPr>
          <w:b/>
        </w:rPr>
        <w:t xml:space="preserve"> – Stanje </w:t>
      </w:r>
      <w:r w:rsidR="00292DE6">
        <w:rPr>
          <w:b/>
        </w:rPr>
        <w:t>ne</w:t>
      </w:r>
      <w:r w:rsidRPr="006816CB">
        <w:rPr>
          <w:b/>
        </w:rPr>
        <w:t>dospjelih obveza na kraju izvještajnog razdoblja</w:t>
      </w:r>
      <w:r w:rsidR="005702CE">
        <w:t>-</w:t>
      </w:r>
      <w:r w:rsidR="00413B6F">
        <w:t xml:space="preserve"> na dan 31.prosinca 2021</w:t>
      </w:r>
      <w:r w:rsidR="006816CB">
        <w:t xml:space="preserve">. godine </w:t>
      </w:r>
      <w:r w:rsidR="00292DE6">
        <w:t>iska</w:t>
      </w:r>
      <w:r w:rsidR="00413B6F">
        <w:t>zane su  u ukupnom iznosu od 623.967,42</w:t>
      </w:r>
      <w:r w:rsidR="00292DE6">
        <w:t xml:space="preserve"> </w:t>
      </w:r>
      <w:r w:rsidR="002578BA">
        <w:t xml:space="preserve">od toga </w:t>
      </w:r>
      <w:r w:rsidR="00522B3B">
        <w:t>međusobne obveze proračunskih korisnika  79.410,72 km obveze za zaposlene (456.437,18</w:t>
      </w:r>
      <w:r w:rsidR="002578BA">
        <w:t xml:space="preserve"> kn), odnose se </w:t>
      </w:r>
      <w:r w:rsidR="00522B3B">
        <w:t>na plaće za mjesec prosinac 2021</w:t>
      </w:r>
      <w:r w:rsidR="006816CB">
        <w:t xml:space="preserve"> </w:t>
      </w:r>
      <w:r w:rsidR="002578BA">
        <w:t>, o</w:t>
      </w:r>
      <w:r w:rsidR="00522B3B">
        <w:t>bveze za materijalne rashode (83.762,01</w:t>
      </w:r>
      <w:r w:rsidR="002578BA">
        <w:t xml:space="preserve"> kn) , ob</w:t>
      </w:r>
      <w:r w:rsidR="00522B3B">
        <w:t>veze za financijske rashode (513</w:t>
      </w:r>
      <w:r w:rsidR="002578BA">
        <w:t>,</w:t>
      </w:r>
      <w:r w:rsidR="00522B3B">
        <w:t>67</w:t>
      </w:r>
      <w:r w:rsidR="002578BA">
        <w:t xml:space="preserve"> </w:t>
      </w:r>
      <w:r w:rsidR="00522B3B">
        <w:t>kn)  te ostale tekuće obveze (3.843,8</w:t>
      </w:r>
      <w:r w:rsidR="002578BA">
        <w:t xml:space="preserve">4 kn). Sve ove obveze imaju rok </w:t>
      </w:r>
      <w:r w:rsidR="00522B3B">
        <w:t>dospjeća plaćanja iza 31.12.2021</w:t>
      </w:r>
      <w:r w:rsidR="002578BA">
        <w:t>. godine i stoga su i evidentirane na ovom AOP-u.</w:t>
      </w:r>
    </w:p>
    <w:p w:rsidR="00387A51" w:rsidRPr="00E70394" w:rsidRDefault="00387A51" w:rsidP="00F43129"/>
    <w:p w:rsidR="00F43129" w:rsidRPr="002075BC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Pr="003F100F" w:rsidRDefault="00F43129" w:rsidP="00F43129">
      <w:pPr>
        <w:rPr>
          <w:b/>
        </w:rPr>
      </w:pPr>
      <w:r w:rsidRPr="003F100F">
        <w:rPr>
          <w:b/>
        </w:rPr>
        <w:t xml:space="preserve">Mjesto i datum: Otok, </w:t>
      </w:r>
      <w:r w:rsidR="006816CB">
        <w:rPr>
          <w:b/>
        </w:rPr>
        <w:t>28</w:t>
      </w:r>
      <w:r w:rsidR="00F22E62">
        <w:rPr>
          <w:b/>
        </w:rPr>
        <w:t>. 01</w:t>
      </w:r>
      <w:r>
        <w:rPr>
          <w:b/>
        </w:rPr>
        <w:t>. 2</w:t>
      </w:r>
      <w:r w:rsidR="008067D5">
        <w:rPr>
          <w:b/>
        </w:rPr>
        <w:t>022</w:t>
      </w:r>
      <w:r>
        <w:rPr>
          <w:b/>
        </w:rPr>
        <w:t xml:space="preserve">. </w:t>
      </w:r>
    </w:p>
    <w:p w:rsidR="00F43129" w:rsidRPr="003F100F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3F100F">
        <w:rPr>
          <w:b/>
        </w:rPr>
        <w:t xml:space="preserve">Osoba za kontakt: MARIJA TEŠIJA </w:t>
      </w:r>
      <w:r>
        <w:rPr>
          <w:b/>
        </w:rPr>
        <w:t xml:space="preserve"> </w:t>
      </w:r>
    </w:p>
    <w:p w:rsidR="00D15DC6" w:rsidRPr="003F100F" w:rsidRDefault="00D15DC6" w:rsidP="00F43129">
      <w:pPr>
        <w:rPr>
          <w:b/>
        </w:rPr>
      </w:pPr>
    </w:p>
    <w:p w:rsidR="00F22E62" w:rsidRDefault="00F43129" w:rsidP="00F43129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3129" w:rsidRDefault="00DC3224" w:rsidP="00DC3224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DC3224" w:rsidRDefault="00F43129" w:rsidP="00DC3224">
      <w:pPr>
        <w:jc w:val="center"/>
        <w:rPr>
          <w:b/>
        </w:rPr>
      </w:pPr>
      <w:r w:rsidRPr="003F100F">
        <w:rPr>
          <w:b/>
        </w:rPr>
        <w:t xml:space="preserve">          </w:t>
      </w:r>
      <w:r>
        <w:rPr>
          <w:b/>
        </w:rPr>
        <w:t xml:space="preserve">                  </w:t>
      </w:r>
      <w:r w:rsidR="00DC3224">
        <w:rPr>
          <w:b/>
        </w:rPr>
        <w:t xml:space="preserve">                                               Marina Beuk</w:t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jc w:val="center"/>
        <w:rPr>
          <w:b/>
        </w:rPr>
      </w:pPr>
    </w:p>
    <w:p w:rsidR="00DC3224" w:rsidRDefault="00DC3224" w:rsidP="00DC32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0A01" w:rsidRDefault="00DC3224" w:rsidP="00DC3224">
      <w:pPr>
        <w:jc w:val="center"/>
      </w:pPr>
      <w:r>
        <w:rPr>
          <w:b/>
        </w:rPr>
        <w:t>M.P.</w:t>
      </w:r>
      <w:r w:rsidR="00F43129">
        <w:rPr>
          <w:b/>
        </w:rPr>
        <w:t xml:space="preserve">                                                                       </w:t>
      </w:r>
    </w:p>
    <w:sectPr w:rsidR="00FA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C"/>
    <w:rsid w:val="00003DA5"/>
    <w:rsid w:val="00012CFB"/>
    <w:rsid w:val="00014964"/>
    <w:rsid w:val="000504FA"/>
    <w:rsid w:val="000556CD"/>
    <w:rsid w:val="0006535D"/>
    <w:rsid w:val="000952A9"/>
    <w:rsid w:val="000B2371"/>
    <w:rsid w:val="000B2D83"/>
    <w:rsid w:val="000C4573"/>
    <w:rsid w:val="00130C0A"/>
    <w:rsid w:val="00156D93"/>
    <w:rsid w:val="00163E11"/>
    <w:rsid w:val="001752C5"/>
    <w:rsid w:val="00192E59"/>
    <w:rsid w:val="001C4191"/>
    <w:rsid w:val="002301D3"/>
    <w:rsid w:val="00256848"/>
    <w:rsid w:val="002578BA"/>
    <w:rsid w:val="00292DE6"/>
    <w:rsid w:val="002A4442"/>
    <w:rsid w:val="002B5431"/>
    <w:rsid w:val="002C4851"/>
    <w:rsid w:val="00304E6E"/>
    <w:rsid w:val="00334F67"/>
    <w:rsid w:val="003402EB"/>
    <w:rsid w:val="00341B92"/>
    <w:rsid w:val="00343CBF"/>
    <w:rsid w:val="0035336B"/>
    <w:rsid w:val="00360317"/>
    <w:rsid w:val="00387A51"/>
    <w:rsid w:val="00396538"/>
    <w:rsid w:val="003B2350"/>
    <w:rsid w:val="003B349C"/>
    <w:rsid w:val="003B7B0A"/>
    <w:rsid w:val="003C4BB0"/>
    <w:rsid w:val="003D7695"/>
    <w:rsid w:val="003F6163"/>
    <w:rsid w:val="00407773"/>
    <w:rsid w:val="00413B6F"/>
    <w:rsid w:val="004277ED"/>
    <w:rsid w:val="00434F20"/>
    <w:rsid w:val="00444AB5"/>
    <w:rsid w:val="004A0045"/>
    <w:rsid w:val="004A0D9D"/>
    <w:rsid w:val="004A1009"/>
    <w:rsid w:val="004B75CB"/>
    <w:rsid w:val="004D0D3A"/>
    <w:rsid w:val="004E69D6"/>
    <w:rsid w:val="00522B3B"/>
    <w:rsid w:val="00556307"/>
    <w:rsid w:val="005702CE"/>
    <w:rsid w:val="00585F28"/>
    <w:rsid w:val="005A45D4"/>
    <w:rsid w:val="005E5F94"/>
    <w:rsid w:val="005F02C1"/>
    <w:rsid w:val="00630303"/>
    <w:rsid w:val="00646BEA"/>
    <w:rsid w:val="00675449"/>
    <w:rsid w:val="006816CB"/>
    <w:rsid w:val="00682E9A"/>
    <w:rsid w:val="006E3EF8"/>
    <w:rsid w:val="006F71DD"/>
    <w:rsid w:val="00716ACA"/>
    <w:rsid w:val="0074475F"/>
    <w:rsid w:val="007718E5"/>
    <w:rsid w:val="00777893"/>
    <w:rsid w:val="00781932"/>
    <w:rsid w:val="007B3E9C"/>
    <w:rsid w:val="007E3DA6"/>
    <w:rsid w:val="007E3EDA"/>
    <w:rsid w:val="007E7F6B"/>
    <w:rsid w:val="008067D5"/>
    <w:rsid w:val="00875B28"/>
    <w:rsid w:val="00886786"/>
    <w:rsid w:val="008921D3"/>
    <w:rsid w:val="008A592D"/>
    <w:rsid w:val="008A7EDA"/>
    <w:rsid w:val="008B4C21"/>
    <w:rsid w:val="008E2B87"/>
    <w:rsid w:val="00902C89"/>
    <w:rsid w:val="00907145"/>
    <w:rsid w:val="0091139A"/>
    <w:rsid w:val="00917F14"/>
    <w:rsid w:val="00927311"/>
    <w:rsid w:val="0094364F"/>
    <w:rsid w:val="009450B2"/>
    <w:rsid w:val="00974C2F"/>
    <w:rsid w:val="00997226"/>
    <w:rsid w:val="009E65E8"/>
    <w:rsid w:val="00A6023F"/>
    <w:rsid w:val="00A84C7D"/>
    <w:rsid w:val="00AB0623"/>
    <w:rsid w:val="00AD20B1"/>
    <w:rsid w:val="00AD4F28"/>
    <w:rsid w:val="00B100A9"/>
    <w:rsid w:val="00B47D8E"/>
    <w:rsid w:val="00B96E18"/>
    <w:rsid w:val="00BA1522"/>
    <w:rsid w:val="00BB7878"/>
    <w:rsid w:val="00BF2A9A"/>
    <w:rsid w:val="00C25CE8"/>
    <w:rsid w:val="00C4530B"/>
    <w:rsid w:val="00C73656"/>
    <w:rsid w:val="00C777EE"/>
    <w:rsid w:val="00C97E53"/>
    <w:rsid w:val="00CC0653"/>
    <w:rsid w:val="00CF71DD"/>
    <w:rsid w:val="00D15DC6"/>
    <w:rsid w:val="00D24A8C"/>
    <w:rsid w:val="00D27BBF"/>
    <w:rsid w:val="00D61780"/>
    <w:rsid w:val="00D65234"/>
    <w:rsid w:val="00D65851"/>
    <w:rsid w:val="00D65AF4"/>
    <w:rsid w:val="00D77003"/>
    <w:rsid w:val="00D8030A"/>
    <w:rsid w:val="00DA6E35"/>
    <w:rsid w:val="00DA70D5"/>
    <w:rsid w:val="00DC3224"/>
    <w:rsid w:val="00DC45E1"/>
    <w:rsid w:val="00DC5F0E"/>
    <w:rsid w:val="00E1308E"/>
    <w:rsid w:val="00E14993"/>
    <w:rsid w:val="00E359BA"/>
    <w:rsid w:val="00E70394"/>
    <w:rsid w:val="00EA55C7"/>
    <w:rsid w:val="00EF0177"/>
    <w:rsid w:val="00F05ED3"/>
    <w:rsid w:val="00F11C41"/>
    <w:rsid w:val="00F22E62"/>
    <w:rsid w:val="00F2765E"/>
    <w:rsid w:val="00F43129"/>
    <w:rsid w:val="00F60051"/>
    <w:rsid w:val="00F83BE6"/>
    <w:rsid w:val="00F844D1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2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BA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2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BA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96</cp:revision>
  <cp:lastPrinted>2022-01-27T08:35:00Z</cp:lastPrinted>
  <dcterms:created xsi:type="dcterms:W3CDTF">2020-01-25T17:53:00Z</dcterms:created>
  <dcterms:modified xsi:type="dcterms:W3CDTF">2022-01-28T08:58:00Z</dcterms:modified>
</cp:coreProperties>
</file>